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C7" w:rsidRDefault="009821C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21C7" w:rsidRDefault="009821C7">
      <w:pPr>
        <w:pStyle w:val="ConsPlusNormal"/>
        <w:jc w:val="both"/>
        <w:outlineLvl w:val="0"/>
      </w:pPr>
    </w:p>
    <w:p w:rsidR="009821C7" w:rsidRDefault="009821C7">
      <w:pPr>
        <w:pStyle w:val="ConsPlusTitle"/>
        <w:jc w:val="center"/>
        <w:outlineLvl w:val="0"/>
      </w:pPr>
      <w:r>
        <w:t>ПРАВИТЕЛЬСТВО КАЛУЖСКОЙ ОБЛАСТИ</w:t>
      </w:r>
    </w:p>
    <w:p w:rsidR="009821C7" w:rsidRDefault="009821C7">
      <w:pPr>
        <w:pStyle w:val="ConsPlusTitle"/>
        <w:jc w:val="both"/>
      </w:pPr>
    </w:p>
    <w:p w:rsidR="009821C7" w:rsidRDefault="009821C7">
      <w:pPr>
        <w:pStyle w:val="ConsPlusTitle"/>
        <w:jc w:val="center"/>
      </w:pPr>
      <w:r>
        <w:t>ПОСТАНОВЛЕНИЕ</w:t>
      </w:r>
    </w:p>
    <w:p w:rsidR="009821C7" w:rsidRDefault="009821C7">
      <w:pPr>
        <w:pStyle w:val="ConsPlusTitle"/>
        <w:jc w:val="center"/>
      </w:pPr>
      <w:r>
        <w:t>от 2 февраля 2021 г. N 48</w:t>
      </w:r>
    </w:p>
    <w:p w:rsidR="009821C7" w:rsidRDefault="009821C7">
      <w:pPr>
        <w:pStyle w:val="ConsPlusTitle"/>
        <w:jc w:val="both"/>
      </w:pPr>
    </w:p>
    <w:p w:rsidR="009821C7" w:rsidRDefault="009821C7">
      <w:pPr>
        <w:pStyle w:val="ConsPlusTitle"/>
        <w:jc w:val="center"/>
      </w:pPr>
      <w:r>
        <w:t>ОБ УСТАНОВЛЕНИИ СРЕДНЕГО РАЗМЕРА РОДИТЕЛЬСКОЙ ПЛАТЫ</w:t>
      </w:r>
    </w:p>
    <w:p w:rsidR="009821C7" w:rsidRDefault="009821C7">
      <w:pPr>
        <w:pStyle w:val="ConsPlusTitle"/>
        <w:jc w:val="center"/>
      </w:pPr>
      <w:r>
        <w:t xml:space="preserve">ЗА ПРИСМОТР И УХОД ЗА ДЕТЬМИ В </w:t>
      </w:r>
      <w:proofErr w:type="gramStart"/>
      <w:r>
        <w:t>ГОСУДАРСТВЕННЫХ</w:t>
      </w:r>
      <w:proofErr w:type="gramEnd"/>
    </w:p>
    <w:p w:rsidR="009821C7" w:rsidRDefault="009821C7">
      <w:pPr>
        <w:pStyle w:val="ConsPlusTitle"/>
        <w:jc w:val="center"/>
      </w:pPr>
      <w:r>
        <w:t xml:space="preserve">И МУНИЦИПАЛЬНЫХ ОБРАЗОВАТЕЛЬНЫХ </w:t>
      </w:r>
      <w:proofErr w:type="gramStart"/>
      <w:r>
        <w:t>ОРГАНИЗАЦИЯХ</w:t>
      </w:r>
      <w:proofErr w:type="gramEnd"/>
      <w:r>
        <w:t>, НАХОДЯЩИХСЯ</w:t>
      </w:r>
    </w:p>
    <w:p w:rsidR="009821C7" w:rsidRDefault="009821C7">
      <w:pPr>
        <w:pStyle w:val="ConsPlusTitle"/>
        <w:jc w:val="center"/>
      </w:pPr>
      <w:r>
        <w:t xml:space="preserve">НА ТЕРРИТОРИИ КАЛУЖСКОЙ ОБЛАСТИ И </w:t>
      </w:r>
      <w:proofErr w:type="gramStart"/>
      <w:r>
        <w:t>РЕАЛИЗУЮЩИХ</w:t>
      </w:r>
      <w:proofErr w:type="gramEnd"/>
    </w:p>
    <w:p w:rsidR="009821C7" w:rsidRDefault="009821C7">
      <w:pPr>
        <w:pStyle w:val="ConsPlusTitle"/>
        <w:jc w:val="center"/>
      </w:pPr>
      <w:r>
        <w:t>ОБРАЗОВАТЕЛЬНУЮ ПРОГРАММУ ДОШКОЛЬНОГО ОБРАЗОВАНИЯ,</w:t>
      </w:r>
    </w:p>
    <w:p w:rsidR="009821C7" w:rsidRDefault="009821C7">
      <w:pPr>
        <w:pStyle w:val="ConsPlusTitle"/>
        <w:jc w:val="center"/>
      </w:pPr>
      <w:r>
        <w:t>В 2021 ГОДУ</w:t>
      </w: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65</w:t>
        </w:r>
      </w:hyperlink>
      <w:r>
        <w:t xml:space="preserve"> Федерального закона "Об образовании в Российской Федерации", </w:t>
      </w:r>
      <w:hyperlink r:id="rId7" w:history="1">
        <w:r>
          <w:rPr>
            <w:color w:val="0000FF"/>
          </w:rPr>
          <w:t>статьей 5</w:t>
        </w:r>
      </w:hyperlink>
      <w:r>
        <w:t xml:space="preserve"> Закона Калужской области "Об образовании в Калужской области" Правительство Калужской области</w:t>
      </w:r>
    </w:p>
    <w:p w:rsidR="009821C7" w:rsidRDefault="009821C7">
      <w:pPr>
        <w:pStyle w:val="ConsPlusNormal"/>
        <w:spacing w:before="220"/>
        <w:ind w:firstLine="540"/>
        <w:jc w:val="both"/>
      </w:pPr>
      <w:r>
        <w:t>ПОСТАНОВЛЯЕТ:</w:t>
      </w: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ind w:firstLine="540"/>
        <w:jc w:val="both"/>
      </w:pPr>
      <w:r>
        <w:t xml:space="preserve">1. Установить средний </w:t>
      </w:r>
      <w:hyperlink w:anchor="P31" w:history="1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государственных и муниципальных образовательных организациях, находящихся на территории Калужской области и реализующих образовательную программу дошкольного образования, в 2021 году согласно приложению к настоящему Постановлению.</w:t>
      </w:r>
    </w:p>
    <w:p w:rsidR="009821C7" w:rsidRDefault="009821C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jc w:val="right"/>
      </w:pPr>
      <w:r>
        <w:t>Губернатор Калужской области</w:t>
      </w:r>
    </w:p>
    <w:p w:rsidR="009821C7" w:rsidRDefault="009821C7">
      <w:pPr>
        <w:pStyle w:val="ConsPlusNormal"/>
        <w:jc w:val="right"/>
      </w:pPr>
      <w:proofErr w:type="spellStart"/>
      <w:r>
        <w:t>В.В.Шапша</w:t>
      </w:r>
      <w:proofErr w:type="spellEnd"/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jc w:val="right"/>
        <w:outlineLvl w:val="0"/>
      </w:pPr>
      <w:r>
        <w:t>Приложение</w:t>
      </w:r>
    </w:p>
    <w:p w:rsidR="009821C7" w:rsidRDefault="009821C7">
      <w:pPr>
        <w:pStyle w:val="ConsPlusNormal"/>
        <w:jc w:val="right"/>
      </w:pPr>
      <w:r>
        <w:t>к Постановлению</w:t>
      </w:r>
    </w:p>
    <w:p w:rsidR="009821C7" w:rsidRDefault="009821C7">
      <w:pPr>
        <w:pStyle w:val="ConsPlusNormal"/>
        <w:jc w:val="right"/>
      </w:pPr>
      <w:r>
        <w:t>Правительства Калужской области</w:t>
      </w:r>
    </w:p>
    <w:p w:rsidR="009821C7" w:rsidRDefault="009821C7">
      <w:pPr>
        <w:pStyle w:val="ConsPlusNormal"/>
        <w:jc w:val="right"/>
      </w:pPr>
      <w:r>
        <w:t>от 2 февраля 2021 г. N 48</w:t>
      </w: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Title"/>
        <w:jc w:val="center"/>
      </w:pPr>
      <w:bookmarkStart w:id="0" w:name="P31"/>
      <w:bookmarkEnd w:id="0"/>
      <w:r>
        <w:t>СРЕДНИЙ РАЗМЕР РОДИТЕЛЬСКОЙ ПЛАТЫ ЗА ПРИСМОТР И УХОД</w:t>
      </w:r>
    </w:p>
    <w:p w:rsidR="009821C7" w:rsidRDefault="009821C7">
      <w:pPr>
        <w:pStyle w:val="ConsPlusTitle"/>
        <w:jc w:val="center"/>
      </w:pPr>
      <w:r>
        <w:t xml:space="preserve">ЗА ДЕТЬМИ В </w:t>
      </w:r>
      <w:proofErr w:type="gramStart"/>
      <w:r>
        <w:t>ГОСУДАРСТВЕННЫХ</w:t>
      </w:r>
      <w:proofErr w:type="gramEnd"/>
      <w:r>
        <w:t xml:space="preserve"> И МУНИЦИПАЛЬНЫХ ОБРАЗОВАТЕЛЬНЫХ</w:t>
      </w:r>
    </w:p>
    <w:p w:rsidR="009821C7" w:rsidRDefault="009821C7">
      <w:pPr>
        <w:pStyle w:val="ConsPlusTitle"/>
        <w:jc w:val="center"/>
      </w:pPr>
      <w:proofErr w:type="gramStart"/>
      <w:r>
        <w:t>ОРГАНИЗАЦИЯХ</w:t>
      </w:r>
      <w:proofErr w:type="gramEnd"/>
      <w:r>
        <w:t>, НАХОДЯЩИХСЯ НА ТЕРРИТОРИИ КАЛУЖСКОЙ ОБЛАСТИ</w:t>
      </w:r>
    </w:p>
    <w:p w:rsidR="009821C7" w:rsidRDefault="009821C7">
      <w:pPr>
        <w:pStyle w:val="ConsPlusTitle"/>
        <w:jc w:val="center"/>
      </w:pPr>
      <w:r>
        <w:t xml:space="preserve">И </w:t>
      </w:r>
      <w:proofErr w:type="gramStart"/>
      <w:r>
        <w:t>РЕАЛИЗУЮЩИХ</w:t>
      </w:r>
      <w:proofErr w:type="gramEnd"/>
      <w:r>
        <w:t xml:space="preserve"> ОБРАЗОВАТЕЛЬНУЮ ПРОГРАММУ ДОШКОЛЬНОГО</w:t>
      </w:r>
    </w:p>
    <w:p w:rsidR="009821C7" w:rsidRDefault="009821C7">
      <w:pPr>
        <w:pStyle w:val="ConsPlusTitle"/>
        <w:jc w:val="center"/>
      </w:pPr>
      <w:r>
        <w:t>ОБРАЗОВАНИЯ, В 2021 ГОДУ</w:t>
      </w:r>
    </w:p>
    <w:p w:rsidR="009821C7" w:rsidRDefault="009821C7">
      <w:pPr>
        <w:pStyle w:val="ConsPlusNormal"/>
        <w:jc w:val="both"/>
      </w:pPr>
    </w:p>
    <w:p w:rsidR="009821C7" w:rsidRDefault="009821C7">
      <w:pPr>
        <w:sectPr w:rsidR="009821C7" w:rsidSect="00095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7"/>
        <w:gridCol w:w="1037"/>
        <w:gridCol w:w="806"/>
        <w:gridCol w:w="1559"/>
        <w:gridCol w:w="1418"/>
        <w:gridCol w:w="1414"/>
        <w:gridCol w:w="1674"/>
      </w:tblGrid>
      <w:tr w:rsidR="009821C7">
        <w:tc>
          <w:tcPr>
            <w:tcW w:w="2297" w:type="dxa"/>
            <w:vMerge w:val="restart"/>
          </w:tcPr>
          <w:p w:rsidR="009821C7" w:rsidRDefault="009821C7">
            <w:pPr>
              <w:pStyle w:val="ConsPlusNormal"/>
              <w:jc w:val="center"/>
            </w:pPr>
            <w:r>
              <w:lastRenderedPageBreak/>
              <w:t>Наименование муниципальных районов (городских округов)</w:t>
            </w:r>
          </w:p>
        </w:tc>
        <w:tc>
          <w:tcPr>
            <w:tcW w:w="7908" w:type="dxa"/>
            <w:gridSpan w:val="6"/>
          </w:tcPr>
          <w:p w:rsidR="009821C7" w:rsidRDefault="009821C7">
            <w:pPr>
              <w:pStyle w:val="ConsPlusNormal"/>
              <w:jc w:val="center"/>
            </w:pPr>
            <w:r>
              <w:t>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Калужской области и реализующих образовательную программу дошкольного образования</w:t>
            </w:r>
          </w:p>
        </w:tc>
      </w:tr>
      <w:tr w:rsidR="009821C7">
        <w:tc>
          <w:tcPr>
            <w:tcW w:w="2297" w:type="dxa"/>
            <w:vMerge/>
          </w:tcPr>
          <w:p w:rsidR="009821C7" w:rsidRDefault="009821C7"/>
        </w:tc>
        <w:tc>
          <w:tcPr>
            <w:tcW w:w="7908" w:type="dxa"/>
            <w:gridSpan w:val="6"/>
          </w:tcPr>
          <w:p w:rsidR="009821C7" w:rsidRDefault="009821C7">
            <w:pPr>
              <w:pStyle w:val="ConsPlusNormal"/>
              <w:jc w:val="center"/>
            </w:pPr>
            <w:r>
              <w:t>режим работы группы</w:t>
            </w:r>
          </w:p>
        </w:tc>
      </w:tr>
      <w:tr w:rsidR="009821C7">
        <w:tc>
          <w:tcPr>
            <w:tcW w:w="2297" w:type="dxa"/>
            <w:vMerge/>
          </w:tcPr>
          <w:p w:rsidR="009821C7" w:rsidRDefault="009821C7"/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  <w:jc w:val="center"/>
            </w:pPr>
            <w:r>
              <w:t>кратковременного пребывания (до 5 часов) (без питания/с питанием), руб./день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center"/>
            </w:pPr>
            <w:r>
              <w:t>полного дня (10,5 - 12 часов), руб./день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center"/>
            </w:pPr>
            <w:r>
              <w:t>сокращенного дня (8 - 10 часов), руб./день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  <w:jc w:val="center"/>
            </w:pPr>
            <w:r>
              <w:t>продленного дня (13 - 14 часов), руб./день</w:t>
            </w:r>
          </w:p>
        </w:tc>
        <w:tc>
          <w:tcPr>
            <w:tcW w:w="1674" w:type="dxa"/>
          </w:tcPr>
          <w:p w:rsidR="009821C7" w:rsidRDefault="009821C7">
            <w:pPr>
              <w:pStyle w:val="ConsPlusNormal"/>
              <w:jc w:val="center"/>
            </w:pPr>
            <w:r>
              <w:t>круглосуточного пребывания (24 часа), руб./день</w:t>
            </w: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Бабынинский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  <w:jc w:val="right"/>
            </w:pPr>
            <w:r>
              <w:t>12,65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63,16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42,12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Барятинский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48,58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Боровский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  <w:jc w:val="right"/>
            </w:pPr>
            <w:r>
              <w:t>26,72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63,16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55,38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  <w:jc w:val="right"/>
            </w:pPr>
            <w:r>
              <w:t>67,04</w:t>
            </w: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42,12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42,12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  <w:jc w:val="right"/>
            </w:pPr>
            <w:r>
              <w:t>42,12</w:t>
            </w: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Думиничский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45,41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45,41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Жиздринский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41,59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36,39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Жуковский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55,13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55,13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Износковский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43,34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Козельский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60,29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60,29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25,99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Малоярославецкий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60,00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4" w:type="dxa"/>
          </w:tcPr>
          <w:p w:rsidR="009821C7" w:rsidRDefault="009821C7">
            <w:pPr>
              <w:pStyle w:val="ConsPlusNormal"/>
              <w:jc w:val="right"/>
            </w:pPr>
            <w:r>
              <w:t>72,00</w:t>
            </w:r>
          </w:p>
        </w:tc>
        <w:tc>
          <w:tcPr>
            <w:tcW w:w="1674" w:type="dxa"/>
          </w:tcPr>
          <w:p w:rsidR="009821C7" w:rsidRDefault="009821C7">
            <w:pPr>
              <w:pStyle w:val="ConsPlusNormal"/>
              <w:jc w:val="right"/>
            </w:pPr>
            <w:r>
              <w:t>72,00</w:t>
            </w: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lastRenderedPageBreak/>
              <w:t>Медынский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60,17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48,14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Мещовский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40,32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40,32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46,15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Перемышльский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65,50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65,50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Спас-</w:t>
            </w:r>
            <w:proofErr w:type="spellStart"/>
            <w:r>
              <w:t>Деменский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44,19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25,99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Сухиничский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60,17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54,14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Тарусский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  <w:jc w:val="right"/>
            </w:pPr>
            <w:r>
              <w:t>7,29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58,30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  <w:jc w:val="right"/>
            </w:pPr>
            <w:r>
              <w:t>18,50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60,70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Ферзиковский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33,87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33,87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proofErr w:type="spellStart"/>
            <w:r>
              <w:t>Хвастовичский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39,12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Юхновский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43,00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  <w:jc w:val="right"/>
            </w:pPr>
            <w:r>
              <w:t>36,44</w:t>
            </w: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Город Калуга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  <w:jc w:val="right"/>
            </w:pPr>
            <w:r>
              <w:t>33,44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66,67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4" w:type="dxa"/>
          </w:tcPr>
          <w:p w:rsidR="009821C7" w:rsidRDefault="009821C7">
            <w:pPr>
              <w:pStyle w:val="ConsPlusNormal"/>
              <w:jc w:val="right"/>
            </w:pPr>
            <w:r>
              <w:t>67,92</w:t>
            </w:r>
          </w:p>
        </w:tc>
        <w:tc>
          <w:tcPr>
            <w:tcW w:w="1674" w:type="dxa"/>
          </w:tcPr>
          <w:p w:rsidR="009821C7" w:rsidRDefault="009821C7">
            <w:pPr>
              <w:pStyle w:val="ConsPlusNormal"/>
              <w:jc w:val="right"/>
            </w:pPr>
            <w:r>
              <w:t>72,99</w:t>
            </w: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Город Киров и Кировский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</w:pP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45,13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 xml:space="preserve">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gridSpan w:val="2"/>
          </w:tcPr>
          <w:p w:rsidR="009821C7" w:rsidRDefault="009821C7">
            <w:pPr>
              <w:pStyle w:val="ConsPlusNormal"/>
              <w:jc w:val="right"/>
            </w:pPr>
            <w:r>
              <w:t>25,58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51,16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  <w:tr w:rsidR="009821C7">
        <w:tc>
          <w:tcPr>
            <w:tcW w:w="2297" w:type="dxa"/>
          </w:tcPr>
          <w:p w:rsidR="009821C7" w:rsidRDefault="009821C7">
            <w:pPr>
              <w:pStyle w:val="ConsPlusNormal"/>
            </w:pPr>
            <w:r>
              <w:t>Город Обнинск</w:t>
            </w:r>
          </w:p>
        </w:tc>
        <w:tc>
          <w:tcPr>
            <w:tcW w:w="1037" w:type="dxa"/>
          </w:tcPr>
          <w:p w:rsidR="009821C7" w:rsidRDefault="009821C7">
            <w:pPr>
              <w:pStyle w:val="ConsPlusNormal"/>
              <w:jc w:val="right"/>
            </w:pPr>
            <w:r>
              <w:t>14,57</w:t>
            </w:r>
          </w:p>
        </w:tc>
        <w:tc>
          <w:tcPr>
            <w:tcW w:w="806" w:type="dxa"/>
          </w:tcPr>
          <w:p w:rsidR="009821C7" w:rsidRDefault="009821C7">
            <w:pPr>
              <w:pStyle w:val="ConsPlusNormal"/>
              <w:jc w:val="right"/>
            </w:pPr>
            <w:r>
              <w:t>48,58</w:t>
            </w:r>
          </w:p>
        </w:tc>
        <w:tc>
          <w:tcPr>
            <w:tcW w:w="1559" w:type="dxa"/>
          </w:tcPr>
          <w:p w:rsidR="009821C7" w:rsidRDefault="009821C7">
            <w:pPr>
              <w:pStyle w:val="ConsPlusNormal"/>
              <w:jc w:val="right"/>
            </w:pPr>
            <w:r>
              <w:t>106,88</w:t>
            </w:r>
          </w:p>
        </w:tc>
        <w:tc>
          <w:tcPr>
            <w:tcW w:w="1418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414" w:type="dxa"/>
          </w:tcPr>
          <w:p w:rsidR="009821C7" w:rsidRDefault="009821C7">
            <w:pPr>
              <w:pStyle w:val="ConsPlusNormal"/>
            </w:pPr>
          </w:p>
        </w:tc>
        <w:tc>
          <w:tcPr>
            <w:tcW w:w="1674" w:type="dxa"/>
          </w:tcPr>
          <w:p w:rsidR="009821C7" w:rsidRDefault="009821C7">
            <w:pPr>
              <w:pStyle w:val="ConsPlusNormal"/>
            </w:pPr>
          </w:p>
        </w:tc>
      </w:tr>
    </w:tbl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jc w:val="both"/>
      </w:pPr>
    </w:p>
    <w:p w:rsidR="009821C7" w:rsidRDefault="00982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9821C7" w:rsidSect="00924E8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C7"/>
    <w:rsid w:val="002E53E9"/>
    <w:rsid w:val="003F1E49"/>
    <w:rsid w:val="009821C7"/>
    <w:rsid w:val="00D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504948AE260606E696EC551AD24F8167EB834DF4C1B6228A31594297736F5A2E156AFF9AFB9A4CFE2A8DE80E6A74057D25382AB00FE9E9C33B9F6De4P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504948AE260606E696EC4319BE118F63E5DB40F5C2BA7CD2665F15C823690F6E556CAAD9BE9149FE21D9B04D342D543B6E3529AC13E9E8eDPC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Наталья Валериевна</dc:creator>
  <cp:lastModifiedBy>Пользователь Windows</cp:lastModifiedBy>
  <cp:revision>3</cp:revision>
  <dcterms:created xsi:type="dcterms:W3CDTF">2021-03-02T12:06:00Z</dcterms:created>
  <dcterms:modified xsi:type="dcterms:W3CDTF">2021-03-02T12:07:00Z</dcterms:modified>
</cp:coreProperties>
</file>